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540" w:lineRule="exact"/>
        <w:jc w:val="center"/>
        <w:rPr>
          <w:rFonts w:hint="eastAsia" w:ascii="小标宋" w:hAnsi="方正小标宋_GBK" w:eastAsia="小标宋" w:cs="方正小标宋_GBK"/>
          <w:color w:val="000000"/>
          <w:sz w:val="44"/>
          <w:szCs w:val="44"/>
        </w:rPr>
      </w:pPr>
      <w:r>
        <w:rPr>
          <w:rFonts w:hint="eastAsia" w:ascii="小标宋" w:hAnsi="方正小标宋_GBK" w:eastAsia="小标宋" w:cs="方正小标宋_GBK"/>
          <w:color w:val="000000"/>
          <w:sz w:val="44"/>
          <w:szCs w:val="44"/>
        </w:rPr>
        <w:t>2020年度中国科技期刊卓越行动计划</w:t>
      </w:r>
      <w:r>
        <w:rPr>
          <w:rFonts w:hint="eastAsia" w:ascii="小标宋" w:hAnsi="方正小标宋_GBK" w:eastAsia="小标宋" w:cs="方正小标宋_GBK"/>
          <w:color w:val="000000"/>
          <w:sz w:val="44"/>
          <w:szCs w:val="44"/>
        </w:rPr>
        <w:br w:type="textWrapping"/>
      </w:r>
      <w:r>
        <w:rPr>
          <w:rFonts w:hint="eastAsia" w:ascii="小标宋" w:hAnsi="方正小标宋_GBK" w:eastAsia="小标宋" w:cs="方正小标宋_GBK"/>
          <w:color w:val="000000"/>
          <w:sz w:val="44"/>
          <w:szCs w:val="44"/>
        </w:rPr>
        <w:t>高起点新刊入选项目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869"/>
        <w:gridCol w:w="3300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4"/>
              </w:rPr>
              <w:t>拟使用中文刊名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4"/>
              </w:rPr>
              <w:t>主要主办单位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4"/>
              </w:rPr>
              <w:t>主管单位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中国机械工程学报：增材制造前沿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中国机械工程学会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新能源与智能载运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北京理工大学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工业和信息化部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空天：科学与技术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北京理工大学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工业和信息化部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光电科学（英文）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中国科学院光电技术研究所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数学与统计通讯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中国科学技术大学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深地科学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中国矿业大学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空气动力学进展（英文）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中国空气动力学会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e科学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南开大学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能源材料前沿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北京理工大学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工业和信息化部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材料研究述评（英文）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上海科技大学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上海市教育委员会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国家科学进展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中国科技出版传媒股份有限公司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信息材料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电子科技大学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芯片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上海交通大学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CAAI人工智能汇刊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中国人工智能学会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智能建造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同济大学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生物安全和生物安保杂志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中国科技出版传媒股份有限公司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生态过程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中国科学院沈阳应用生态研究所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废弃物处置与可持续能源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浙江大学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植物表型组学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南京农业大学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草地，饲草和生态</w:t>
            </w:r>
          </w:p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系统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中国草学会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新兴污染物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中国科技出版传媒股份有限公司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生物炭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沈阳农业大学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辽宁省教育厅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传染病建模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中国科技出版传媒股份有限公司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中华医学杂志英文版呼吸与危重症医学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中华医学会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重症医学（英文）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中华医学会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放射医学与防护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中华医学会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感染医学（英文）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清华大学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健康数据科学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北京大学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国家医学评论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北京大学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等线" w:eastAsia="仿宋_GB2312" w:cs="宋体"/>
                <w:color w:val="000000"/>
              </w:rPr>
            </w:pPr>
          </w:p>
        </w:tc>
        <w:tc>
          <w:tcPr>
            <w:tcW w:w="2869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腔镜、内镜与机器人外科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浙江大学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</w:tbl>
    <w:p>
      <w:pPr>
        <w:widowControl w:val="0"/>
        <w:overflowPunct/>
        <w:autoSpaceDE/>
        <w:autoSpaceDN/>
        <w:adjustRightInd/>
        <w:spacing w:line="560" w:lineRule="exact"/>
        <w:textAlignment w:val="auto"/>
        <w:rPr>
          <w:rFonts w:eastAsia="仿宋_GB2312"/>
          <w:sz w:val="32"/>
          <w:szCs w:val="32"/>
        </w:rPr>
      </w:pPr>
    </w:p>
    <w:p/>
    <w:p>
      <w:pPr>
        <w:tabs>
          <w:tab w:val="right" w:pos="9720"/>
        </w:tabs>
        <w:spacing w:line="500" w:lineRule="exact"/>
        <w:ind w:left="1120" w:leftChars="100" w:right="280" w:rightChars="100" w:hanging="840" w:hangingChars="300"/>
        <w:textAlignment w:val="bottom"/>
        <w:rPr>
          <w:rFonts w:hint="eastAsia" w:ascii="仿宋_GB2312" w:hAnsi="Garamond" w:eastAsia="仿宋_GB2312"/>
          <w:szCs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Cs w:val="28"/>
      </w:rPr>
    </w:pPr>
    <w:r>
      <w:rPr>
        <w:rStyle w:val="5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5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5"/>
        <w:szCs w:val="28"/>
      </w:rPr>
      <w:t>3</w:t>
    </w:r>
    <w:r>
      <w:rPr>
        <w:szCs w:val="28"/>
      </w:rPr>
      <w:fldChar w:fldCharType="end"/>
    </w:r>
    <w:r>
      <w:rPr>
        <w:rStyle w:val="5"/>
        <w:rFonts w:hint="eastAsia"/>
        <w:szCs w:val="28"/>
      </w:rPr>
      <w:t xml:space="preserve"> —</w:t>
    </w:r>
  </w:p>
  <w:p>
    <w:pPr>
      <w:pStyle w:val="2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B261CB"/>
    <w:multiLevelType w:val="singleLevel"/>
    <w:tmpl w:val="BCB261C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16CB5"/>
    <w:rsid w:val="1271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2020-07-24T11:05:00Z</dcterms:created>
  <dc:creator>wyt</dc:creator>
  <cp:lastModifiedBy>wyt</cp:lastModifiedBy>
  <dcterms:modified xsi:type="dcterms:W3CDTF">2020-07-24T11:05:43Z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