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6C" w:rsidRDefault="003D706C" w:rsidP="003D706C">
      <w:pPr>
        <w:widowControl/>
        <w:adjustRightInd w:val="0"/>
        <w:snapToGrid w:val="0"/>
        <w:spacing w:line="600" w:lineRule="exact"/>
        <w:jc w:val="left"/>
        <w:rPr>
          <w:rFonts w:ascii="仿宋_GB2312" w:hAnsi="仿宋" w:cs="宋体" w:hint="eastAsia"/>
          <w:kern w:val="0"/>
          <w:szCs w:val="32"/>
        </w:rPr>
      </w:pPr>
      <w:r>
        <w:rPr>
          <w:rFonts w:ascii="仿宋_GB2312" w:hAnsi="仿宋" w:cs="宋体" w:hint="eastAsia"/>
          <w:kern w:val="0"/>
          <w:szCs w:val="32"/>
        </w:rPr>
        <w:t>附件</w:t>
      </w:r>
    </w:p>
    <w:p w:rsidR="003D706C" w:rsidRDefault="003D706C" w:rsidP="003D706C">
      <w:pPr>
        <w:widowControl/>
        <w:adjustRightInd w:val="0"/>
        <w:snapToGrid w:val="0"/>
        <w:spacing w:line="6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44"/>
          <w:szCs w:val="44"/>
        </w:rPr>
        <w:t>北京市教育科学“十四五”规划</w:t>
      </w:r>
    </w:p>
    <w:p w:rsidR="003D706C" w:rsidRDefault="003D706C" w:rsidP="003D706C">
      <w:pPr>
        <w:adjustRightInd w:val="0"/>
        <w:snapToGrid w:val="0"/>
        <w:spacing w:line="600" w:lineRule="exact"/>
        <w:ind w:firstLine="217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20</w:t>
      </w:r>
      <w:r>
        <w:rPr>
          <w:rFonts w:ascii="宋体" w:eastAsia="宋体" w:hAnsi="宋体" w:hint="eastAsia"/>
          <w:b/>
          <w:bCs/>
          <w:sz w:val="44"/>
          <w:szCs w:val="44"/>
        </w:rPr>
        <w:t>21</w:t>
      </w:r>
      <w:r>
        <w:rPr>
          <w:rFonts w:ascii="宋体" w:eastAsia="宋体" w:hAnsi="宋体"/>
          <w:b/>
          <w:bCs/>
          <w:sz w:val="44"/>
          <w:szCs w:val="44"/>
        </w:rPr>
        <w:t>年度课题指南</w:t>
      </w:r>
    </w:p>
    <w:p w:rsidR="003D706C" w:rsidRDefault="003D706C" w:rsidP="003D706C">
      <w:pPr>
        <w:widowControl/>
        <w:adjustRightInd w:val="0"/>
        <w:snapToGrid w:val="0"/>
        <w:spacing w:line="600" w:lineRule="exact"/>
        <w:ind w:firstLineChars="200" w:firstLine="628"/>
        <w:jc w:val="left"/>
        <w:rPr>
          <w:rFonts w:ascii="仿宋_GB2312" w:hAnsi="仿宋" w:cs="宋体"/>
          <w:kern w:val="0"/>
          <w:szCs w:val="32"/>
        </w:rPr>
      </w:pPr>
    </w:p>
    <w:p w:rsidR="003D706C" w:rsidRDefault="003D706C" w:rsidP="003D706C">
      <w:pPr>
        <w:spacing w:line="600" w:lineRule="exact"/>
        <w:ind w:firstLineChars="200" w:firstLine="628"/>
        <w:jc w:val="left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为深入贯彻落实党的十九大和十九届四中、五中全会精神，贯彻落实习近平总书记关于教育的重要论述，贯彻落实全国和北京教育大会精神，进一步提升首都教育现代化水平，促进首都教育科研事业繁荣发展，按照国家与北京市关于制定十四五规划与2035远景目标的建议和《教育部关于加强新时代教育科学研究工作的意见》的要求</w:t>
      </w:r>
      <w:r>
        <w:rPr>
          <w:rFonts w:ascii="黑体" w:eastAsia="黑体" w:hAnsi="黑体" w:cs="仿宋_GB2312" w:hint="eastAsia"/>
          <w:szCs w:val="28"/>
        </w:rPr>
        <w:t>，</w:t>
      </w:r>
      <w:r>
        <w:rPr>
          <w:rFonts w:ascii="仿宋" w:eastAsia="仿宋" w:hAnsi="仿宋" w:cs="宋体" w:hint="eastAsia"/>
          <w:kern w:val="0"/>
          <w:szCs w:val="32"/>
        </w:rPr>
        <w:t>结合首都教育发展的重大战略需求和改革趋势，制定本年度规划课题指南。</w:t>
      </w:r>
    </w:p>
    <w:p w:rsidR="003D706C" w:rsidRDefault="003D706C" w:rsidP="003D706C">
      <w:pPr>
        <w:widowControl/>
        <w:spacing w:line="600" w:lineRule="exact"/>
        <w:ind w:firstLineChars="200" w:firstLine="628"/>
        <w:rPr>
          <w:rFonts w:ascii="黑体" w:eastAsia="黑体" w:hAnsi="黑体" w:cs="仿宋_GB2312" w:hint="eastAsia"/>
          <w:szCs w:val="28"/>
        </w:rPr>
      </w:pPr>
      <w:r>
        <w:rPr>
          <w:rFonts w:ascii="黑体" w:eastAsia="黑体" w:hAnsi="黑体" w:cs="仿宋_GB2312" w:hint="eastAsia"/>
          <w:szCs w:val="28"/>
        </w:rPr>
        <w:t>一、重大课题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1.“两区”建设进程中北京教育扩大对外开放研究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2．深化教育评价改革的“北京方案”研究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3．北京教育系统应对重大公共卫生危机的体制机制研究</w:t>
      </w:r>
    </w:p>
    <w:p w:rsidR="003D706C" w:rsidRDefault="003D706C" w:rsidP="003D706C">
      <w:pPr>
        <w:widowControl/>
        <w:spacing w:line="600" w:lineRule="exact"/>
        <w:ind w:firstLineChars="200" w:firstLine="628"/>
        <w:rPr>
          <w:rFonts w:ascii="黑体" w:eastAsia="黑体" w:hAnsi="黑体" w:cs="仿宋_GB2312"/>
          <w:szCs w:val="28"/>
        </w:rPr>
      </w:pPr>
      <w:r>
        <w:rPr>
          <w:rFonts w:ascii="黑体" w:eastAsia="黑体" w:hAnsi="黑体" w:cs="仿宋_GB2312" w:hint="eastAsia"/>
          <w:szCs w:val="28"/>
        </w:rPr>
        <w:t>二、优先关注课题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1.新时代学校思想政治教育创新的实践研究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2.“双循环”背景下首都高等教育高质量发展战略研究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3.</w:t>
      </w:r>
      <w:r>
        <w:rPr>
          <w:rFonts w:ascii="仿宋" w:eastAsia="仿宋" w:hAnsi="仿宋" w:cs="宋体"/>
          <w:kern w:val="0"/>
          <w:szCs w:val="32"/>
        </w:rPr>
        <w:t>首都高校创新创业教育改革评估研究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4.全面依法治教背景下首都专门教育的保障机制研究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5.线上线下混合教学的国际比较研究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lastRenderedPageBreak/>
        <w:t>6.教育研究范式创新研究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7.首都教育现代化背景下教育治理体系与能力的内涵与指标研究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 xml:space="preserve">8.北京市学生资助动态调整机制研究  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9.构建适应技能社会建设的首都职业教育体系研究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10.校外培训机构风险防控机制研究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11.北京市教育立法中长期规划研究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12.新时代课程育人机制与策略研究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13.激发中小学办学活力研究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14.中小学国家安全教育的课程建设与实践探索研究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15.中小学生健全人格培养的实践研究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16.北京市中小学生高阶能力培养提升研究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17.北京市双一流高校教师队伍建设研究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18.教师质量评价及提升策略研究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19.北京乡村地区基础教育高水平教师供给与补充研究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20.北京市基础教育应对新一轮入学高峰资源布局调整研究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21.</w:t>
      </w:r>
      <w:r>
        <w:rPr>
          <w:rFonts w:ascii="仿宋" w:eastAsia="仿宋" w:hAnsi="仿宋" w:cs="宋体"/>
          <w:kern w:val="0"/>
          <w:szCs w:val="32"/>
        </w:rPr>
        <w:t>北京市教育投入与</w:t>
      </w:r>
      <w:r>
        <w:rPr>
          <w:rFonts w:ascii="仿宋" w:eastAsia="仿宋" w:hAnsi="仿宋" w:cs="宋体" w:hint="eastAsia"/>
          <w:kern w:val="0"/>
          <w:szCs w:val="32"/>
        </w:rPr>
        <w:t>人力资本</w:t>
      </w:r>
      <w:r>
        <w:rPr>
          <w:rFonts w:ascii="仿宋" w:eastAsia="仿宋" w:hAnsi="仿宋" w:cs="宋体"/>
          <w:kern w:val="0"/>
          <w:szCs w:val="32"/>
        </w:rPr>
        <w:t>建设效果评估研究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22.</w:t>
      </w:r>
      <w:r>
        <w:rPr>
          <w:rFonts w:ascii="仿宋" w:eastAsia="仿宋" w:hAnsi="仿宋" w:cs="宋体"/>
          <w:kern w:val="0"/>
          <w:szCs w:val="32"/>
        </w:rPr>
        <w:t>在线教育的效果评价与未来趋势研究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23.</w:t>
      </w:r>
      <w:r>
        <w:rPr>
          <w:rFonts w:ascii="仿宋" w:eastAsia="仿宋" w:hAnsi="仿宋" w:cs="宋体"/>
          <w:kern w:val="0"/>
          <w:szCs w:val="32"/>
        </w:rPr>
        <w:t>人工智能教育应用体系构建研究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24.学校家庭社会协同育人机制研究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25.</w:t>
      </w:r>
      <w:r>
        <w:rPr>
          <w:rFonts w:ascii="仿宋" w:eastAsia="仿宋" w:hAnsi="仿宋" w:cs="宋体"/>
          <w:kern w:val="0"/>
          <w:szCs w:val="32"/>
        </w:rPr>
        <w:t>学生核心价值观形成规律与评价研究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lastRenderedPageBreak/>
        <w:t>26.</w:t>
      </w:r>
      <w:r>
        <w:rPr>
          <w:rFonts w:ascii="仿宋" w:eastAsia="仿宋" w:hAnsi="仿宋" w:cs="宋体"/>
          <w:kern w:val="0"/>
          <w:szCs w:val="32"/>
        </w:rPr>
        <w:t>中华优秀传统文化网络课程建设研究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27.</w:t>
      </w:r>
      <w:r>
        <w:rPr>
          <w:rFonts w:ascii="仿宋" w:eastAsia="仿宋" w:hAnsi="仿宋" w:cs="宋体"/>
          <w:kern w:val="0"/>
          <w:szCs w:val="32"/>
        </w:rPr>
        <w:t>生态文明和绿色发展理念融入</w:t>
      </w:r>
      <w:r>
        <w:rPr>
          <w:rFonts w:ascii="仿宋" w:eastAsia="仿宋" w:hAnsi="仿宋" w:cs="宋体" w:hint="eastAsia"/>
          <w:kern w:val="0"/>
          <w:szCs w:val="32"/>
        </w:rPr>
        <w:t>高校课程建设研究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28.</w:t>
      </w:r>
      <w:r>
        <w:rPr>
          <w:rFonts w:ascii="仿宋" w:eastAsia="仿宋" w:hAnsi="仿宋" w:cs="宋体"/>
          <w:kern w:val="0"/>
          <w:szCs w:val="32"/>
        </w:rPr>
        <w:t>乡村振兴</w:t>
      </w:r>
      <w:r>
        <w:rPr>
          <w:rFonts w:ascii="仿宋" w:eastAsia="仿宋" w:hAnsi="仿宋" w:cs="宋体" w:hint="eastAsia"/>
          <w:kern w:val="0"/>
          <w:szCs w:val="32"/>
        </w:rPr>
        <w:t>战略下</w:t>
      </w:r>
      <w:r>
        <w:rPr>
          <w:rFonts w:ascii="仿宋" w:eastAsia="仿宋" w:hAnsi="仿宋" w:cs="宋体"/>
          <w:kern w:val="0"/>
          <w:szCs w:val="32"/>
        </w:rPr>
        <w:t>乡村学校建设研究</w:t>
      </w:r>
    </w:p>
    <w:p w:rsidR="003D706C" w:rsidRDefault="003D706C" w:rsidP="003D706C">
      <w:pPr>
        <w:widowControl/>
        <w:spacing w:line="600" w:lineRule="exact"/>
        <w:ind w:firstLineChars="200" w:firstLine="628"/>
        <w:rPr>
          <w:rFonts w:ascii="黑体" w:eastAsia="黑体" w:hAnsi="黑体" w:cs="仿宋_GB2312"/>
          <w:szCs w:val="28"/>
        </w:rPr>
      </w:pPr>
      <w:r>
        <w:rPr>
          <w:rFonts w:ascii="黑体" w:eastAsia="黑体" w:hAnsi="黑体" w:cs="仿宋_GB2312" w:hint="eastAsia"/>
          <w:szCs w:val="28"/>
        </w:rPr>
        <w:t>三、自由选题领域</w:t>
      </w:r>
    </w:p>
    <w:p w:rsidR="003D706C" w:rsidRDefault="003D706C" w:rsidP="003D706C">
      <w:pPr>
        <w:spacing w:line="600" w:lineRule="exact"/>
        <w:ind w:firstLineChars="200" w:firstLine="628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本年度规划课题指南只列出重大课题和优先关注课题题目，重点课题、青年专项课题、延续课题不设具体指南，研究者可自主确定研究题目，鼓励协同研究，鼓励教育基本理论研究与决策咨询研究。</w:t>
      </w: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 w:hint="eastAsia"/>
          <w:szCs w:val="32"/>
          <w:lang w:val="en-US" w:eastAsia="zh-CN"/>
        </w:rPr>
      </w:pPr>
    </w:p>
    <w:p w:rsidR="003D706C" w:rsidRDefault="003D706C" w:rsidP="003D706C">
      <w:pPr>
        <w:spacing w:line="540" w:lineRule="exact"/>
        <w:ind w:firstLineChars="200" w:firstLine="628"/>
        <w:jc w:val="left"/>
        <w:rPr>
          <w:rFonts w:ascii="仿宋_GB2312"/>
          <w:szCs w:val="32"/>
          <w:lang w:val="en-US" w:eastAsia="zh-CN"/>
        </w:rPr>
      </w:pPr>
      <w:r>
        <w:rPr>
          <w:rFonts w:ascii="仿宋_GB2312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5561965" cy="0"/>
                <wp:effectExtent l="10160" t="13970" r="9525" b="50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196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C861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35pt" to="437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" strokeweight=".35pt"/>
            </w:pict>
          </mc:Fallback>
        </mc:AlternateContent>
      </w:r>
    </w:p>
    <w:p w:rsidR="00EF1444" w:rsidRDefault="00EF1444">
      <w:pPr>
        <w:rPr>
          <w:lang w:eastAsia="zh-CN"/>
        </w:rPr>
      </w:pPr>
    </w:p>
    <w:sectPr w:rsidR="00EF1444" w:rsidSect="003D706C">
      <w:footerReference w:type="even" r:id="rId4"/>
      <w:footerReference w:type="default" r:id="rId5"/>
      <w:pgSz w:w="11906" w:h="16838"/>
      <w:pgMar w:top="1985" w:right="1531" w:bottom="1985" w:left="1531" w:header="851" w:footer="1418" w:gutter="0"/>
      <w:cols w:space="720"/>
      <w:docGrid w:type="linesAndChar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EF" w:rsidRDefault="003D706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716EF" w:rsidRDefault="003D706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EF" w:rsidRDefault="003D706C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A716EF" w:rsidRDefault="003D706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6C"/>
    <w:rsid w:val="003D706C"/>
    <w:rsid w:val="00E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C98C"/>
  <w15:chartTrackingRefBased/>
  <w15:docId w15:val="{0BD02068-F241-4619-AF38-D7177239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06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706C"/>
  </w:style>
  <w:style w:type="paragraph" w:styleId="a4">
    <w:name w:val="footer"/>
    <w:basedOn w:val="a"/>
    <w:link w:val="a5"/>
    <w:rsid w:val="003D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3D706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849</Characters>
  <Application>Microsoft Office Word</Application>
  <DocSecurity>0</DocSecurity>
  <Lines>7</Lines>
  <Paragraphs>1</Paragraphs>
  <ScaleCrop>false</ScaleCrop>
  <Company>HP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2021-02-02T12:52:00Z</dcterms:created>
  <dcterms:modified xsi:type="dcterms:W3CDTF">2021-02-02T12:53:00Z</dcterms:modified>
</cp:coreProperties>
</file>